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E70F7E" w:rsidRPr="00E70F7E" w:rsidRDefault="00E70F7E" w:rsidP="00E70F7E">
            <w:pPr>
              <w:pStyle w:val="NoSpacing"/>
              <w:rPr>
                <w:rFonts w:asciiTheme="majorHAnsi" w:eastAsiaTheme="majorEastAsia" w:hAnsiTheme="majorHAnsi" w:cstheme="majorBidi"/>
                <w:b/>
                <w:bCs/>
                <w:color w:val="365F91" w:themeColor="accent1" w:themeShade="BF"/>
                <w:sz w:val="32"/>
                <w:szCs w:val="32"/>
              </w:rPr>
            </w:pPr>
            <w:r w:rsidRPr="00E70F7E">
              <w:rPr>
                <w:rFonts w:asciiTheme="majorHAnsi" w:eastAsiaTheme="majorEastAsia" w:hAnsiTheme="majorHAnsi" w:cstheme="majorBidi"/>
                <w:b/>
                <w:bCs/>
                <w:color w:val="365F91" w:themeColor="accent1" w:themeShade="BF"/>
                <w:sz w:val="32"/>
                <w:szCs w:val="32"/>
              </w:rPr>
              <w:t xml:space="preserve">BEST PRACTICES FOR SUSTAINABILITY REPORTING </w:t>
            </w:r>
          </w:p>
          <w:p w:rsidR="00EA4BF4" w:rsidRPr="003F6F40" w:rsidRDefault="00E70F7E" w:rsidP="00E70F7E">
            <w:pPr>
              <w:pStyle w:val="NoSpacing"/>
              <w:rPr>
                <w:rFonts w:asciiTheme="majorHAnsi" w:eastAsiaTheme="majorEastAsia" w:hAnsiTheme="majorHAnsi" w:cstheme="majorBidi"/>
                <w:b/>
                <w:bCs/>
                <w:color w:val="365F91" w:themeColor="accent1" w:themeShade="BF"/>
                <w:sz w:val="48"/>
                <w:szCs w:val="48"/>
              </w:rPr>
            </w:pPr>
            <w:r w:rsidRPr="00E70F7E">
              <w:rPr>
                <w:rFonts w:asciiTheme="majorHAnsi" w:eastAsiaTheme="majorEastAsia" w:hAnsiTheme="majorHAnsi" w:cstheme="majorBidi"/>
                <w:b/>
                <w:bCs/>
                <w:color w:val="365F91" w:themeColor="accent1" w:themeShade="BF"/>
                <w:sz w:val="32"/>
                <w:szCs w:val="32"/>
              </w:rPr>
              <w:t>– WHAT A COMPANY DIRECTOR NEEDS TO KNOW</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E70F7E" w:rsidP="00EA4BF4">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 xml:space="preserve">22 </w:t>
            </w:r>
            <w:r w:rsidR="00146055">
              <w:rPr>
                <w:rFonts w:asciiTheme="minorHAnsi" w:eastAsiaTheme="minorEastAsia" w:hAnsiTheme="minorHAnsi" w:cstheme="minorBidi"/>
                <w:sz w:val="28"/>
                <w:szCs w:val="28"/>
              </w:rPr>
              <w:t xml:space="preserve">Mar / </w:t>
            </w:r>
            <w:r>
              <w:rPr>
                <w:rFonts w:asciiTheme="minorHAnsi" w:eastAsiaTheme="minorEastAsia" w:hAnsiTheme="minorHAnsi" w:cstheme="minorBidi"/>
                <w:sz w:val="28"/>
                <w:szCs w:val="28"/>
              </w:rPr>
              <w:t xml:space="preserve">20 </w:t>
            </w:r>
            <w:r w:rsidR="00146055">
              <w:rPr>
                <w:rFonts w:asciiTheme="minorHAnsi" w:eastAsiaTheme="minorEastAsia" w:hAnsiTheme="minorHAnsi" w:cstheme="minorBidi"/>
                <w:sz w:val="28"/>
                <w:szCs w:val="28"/>
              </w:rPr>
              <w:t xml:space="preserve">Apr / </w:t>
            </w:r>
            <w:r w:rsidR="00EA4BF4">
              <w:rPr>
                <w:rFonts w:asciiTheme="minorHAnsi" w:eastAsiaTheme="minorEastAsia" w:hAnsiTheme="minorHAnsi" w:cstheme="minorBidi"/>
                <w:sz w:val="28"/>
                <w:szCs w:val="28"/>
              </w:rPr>
              <w:t>10</w:t>
            </w:r>
            <w:r w:rsidR="00146055">
              <w:rPr>
                <w:rFonts w:asciiTheme="minorHAnsi" w:eastAsiaTheme="minorEastAsia" w:hAnsiTheme="minorHAnsi" w:cstheme="minorBidi"/>
                <w:sz w:val="28"/>
                <w:szCs w:val="28"/>
              </w:rPr>
              <w:t xml:space="preserve"> </w:t>
            </w:r>
            <w:r>
              <w:rPr>
                <w:rFonts w:asciiTheme="minorHAnsi" w:eastAsiaTheme="minorEastAsia" w:hAnsiTheme="minorHAnsi" w:cstheme="minorBidi"/>
                <w:sz w:val="28"/>
                <w:szCs w:val="28"/>
              </w:rPr>
              <w:t xml:space="preserve">May / 16 </w:t>
            </w:r>
            <w:r w:rsidR="00146055">
              <w:rPr>
                <w:rFonts w:asciiTheme="minorHAnsi" w:eastAsiaTheme="minorEastAsia" w:hAnsiTheme="minorHAnsi" w:cstheme="minorBidi"/>
                <w:sz w:val="28"/>
                <w:szCs w:val="28"/>
              </w:rPr>
              <w:t>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D22FB3" w:rsidTr="003F6F40">
        <w:tc>
          <w:tcPr>
            <w:tcW w:w="5640" w:type="dxa"/>
          </w:tcPr>
          <w:p w:rsidR="00D22FB3" w:rsidRPr="004261AD" w:rsidRDefault="00D22FB3" w:rsidP="00D22FB3">
            <w:pPr>
              <w:jc w:val="both"/>
            </w:pPr>
            <w:r w:rsidRPr="00D22FB3">
              <w:t>The Sustainability Report is an important shareholders communication document and a vital information kit to outline governance assurance standards, business strategies for sustainable growth, capital funding requirements, dividend goals, key risks and mitigation efforts, talent development initiatives, social commitment to the community and the product safety for consumption and the environment.</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2E6C9D">
      <w:r w:rsidRPr="002E6C9D">
        <w:rPr>
          <w:noProof/>
          <w:lang w:eastAsia="zh-TW"/>
        </w:rPr>
        <w:pict>
          <v:group id="_x0000_s1027" style="position:absolute;margin-left:3368.8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2E6C9D">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2E6C9D">
        <w:rPr>
          <w:noProof/>
          <w:lang w:eastAsia="zh-TW"/>
        </w:rPr>
        <w:pict>
          <v:group id="_x0000_s1033" style="position:absolute;margin-left:4818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2E6C9D"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2E6C9D">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r w:rsidRPr="004B250B">
                    <w:rPr>
                      <w:rFonts w:ascii="Cambria" w:hAnsi="Cambria"/>
                      <w:b/>
                      <w:color w:val="17365D"/>
                      <w:sz w:val="36"/>
                      <w:szCs w:val="36"/>
                    </w:rPr>
                    <w:t>Bursatra</w:t>
                  </w:r>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2E6C9D"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D22FB3" w:rsidRPr="00D22FB3" w:rsidRDefault="00D22FB3" w:rsidP="00D22FB3">
      <w:pPr>
        <w:ind w:left="-448"/>
        <w:jc w:val="both"/>
        <w:rPr>
          <w:rFonts w:asciiTheme="minorHAnsi" w:hAnsiTheme="minorHAnsi"/>
        </w:rPr>
      </w:pPr>
      <w:r w:rsidRPr="00D22FB3">
        <w:rPr>
          <w:rFonts w:asciiTheme="minorHAnsi" w:hAnsiTheme="minorHAnsi"/>
        </w:rPr>
        <w:t xml:space="preserve">The Sustainability Report is an important shareholders communication document and a vital information kit to outline governance assurance standards, business strategies for sustainable growth, capital funding requirements, dividend goals, key risks and mitigation efforts, talent development initiatives, social commitment to the community and the product safety for consumption and the environment. </w:t>
      </w:r>
    </w:p>
    <w:p w:rsidR="00D22FB3" w:rsidRPr="00D22FB3" w:rsidRDefault="00D22FB3" w:rsidP="00D22FB3">
      <w:pPr>
        <w:ind w:left="-448"/>
        <w:jc w:val="both"/>
        <w:rPr>
          <w:rFonts w:asciiTheme="minorHAnsi" w:hAnsiTheme="minorHAnsi"/>
        </w:rPr>
      </w:pPr>
    </w:p>
    <w:p w:rsidR="00F61EAE" w:rsidRDefault="00D22FB3" w:rsidP="00D22FB3">
      <w:pPr>
        <w:ind w:left="-448"/>
        <w:jc w:val="both"/>
        <w:rPr>
          <w:rFonts w:asciiTheme="minorHAnsi" w:hAnsiTheme="minorHAnsi"/>
        </w:rPr>
      </w:pPr>
      <w:r w:rsidRPr="00D22FB3">
        <w:rPr>
          <w:rFonts w:asciiTheme="minorHAnsi" w:hAnsiTheme="minorHAnsi"/>
        </w:rPr>
        <w:t>Effective 31 December 2015, listed entities with market capitalization above RM 2.0 billion need to demonstrate its Sustainability Plan in the format of A Sustainability Report, which is mandatory under the Listing Requirements of Bursa Malaysia Securities Berhad [paragraph 9.45(2) and paragraph (29), Part A of Appendix 9C of the Main Market Listing Requirements (supplemented by Practice Note 9) and paragraph (30) of Appendix 9C of the ACE Market Listing Requirements (supplemented by Guidance Note 11)]. Once the threshold of RM2.0 billion market capitalization is recorded on 31 December 2015, the requirement to comply with this listing rule must be adhered thereafter, even if the market capitalization subsequently drop below RM2.0 billion, in subsequent financial years.</w:t>
      </w:r>
    </w:p>
    <w:p w:rsidR="00D22FB3" w:rsidRDefault="00D22FB3" w:rsidP="0052403E">
      <w:pPr>
        <w:ind w:left="-448"/>
        <w:jc w:val="both"/>
        <w:rPr>
          <w:rFonts w:asciiTheme="minorHAnsi" w:hAnsiTheme="minorHAnsi"/>
        </w:rPr>
      </w:pPr>
    </w:p>
    <w:p w:rsidR="003F6F40" w:rsidRPr="00B26841" w:rsidRDefault="002E6C9D"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F61EAE" w:rsidRPr="00F61EAE" w:rsidRDefault="00F61EAE" w:rsidP="00F61EAE">
      <w:pPr>
        <w:ind w:left="-425"/>
        <w:jc w:val="both"/>
        <w:rPr>
          <w:rFonts w:asciiTheme="minorHAnsi" w:eastAsia="SimSun" w:hAnsiTheme="minorHAnsi"/>
          <w:szCs w:val="22"/>
          <w:lang w:val="en-US" w:eastAsia="zh-CN"/>
        </w:rPr>
      </w:pPr>
      <w:r w:rsidRPr="00F61EAE">
        <w:rPr>
          <w:rFonts w:asciiTheme="minorHAnsi" w:hAnsiTheme="minorHAnsi"/>
        </w:rPr>
        <w:t>This comprehensive course updates participants in order to:-</w:t>
      </w:r>
    </w:p>
    <w:p w:rsidR="00D22FB3" w:rsidRPr="00D22FB3" w:rsidRDefault="00D22FB3" w:rsidP="00D22FB3">
      <w:pPr>
        <w:pStyle w:val="ListParagraph"/>
        <w:numPr>
          <w:ilvl w:val="0"/>
          <w:numId w:val="17"/>
        </w:numPr>
        <w:spacing w:after="0" w:line="240" w:lineRule="auto"/>
        <w:ind w:left="-86"/>
        <w:jc w:val="both"/>
        <w:rPr>
          <w:rFonts w:asciiTheme="minorHAnsi" w:hAnsiTheme="minorHAnsi"/>
        </w:rPr>
      </w:pPr>
      <w:r w:rsidRPr="00D22FB3">
        <w:rPr>
          <w:rFonts w:asciiTheme="minorHAnsi" w:hAnsiTheme="minorHAnsi"/>
        </w:rPr>
        <w:t>U</w:t>
      </w:r>
      <w:r w:rsidRPr="00D22FB3">
        <w:rPr>
          <w:rFonts w:asciiTheme="minorHAnsi" w:hAnsiTheme="minorHAnsi"/>
        </w:rPr>
        <w:t>nderstand the reasons for the need to adopt Sustainability Reporting.</w:t>
      </w:r>
    </w:p>
    <w:p w:rsidR="00D22FB3" w:rsidRPr="00D22FB3" w:rsidRDefault="00D22FB3" w:rsidP="00D22FB3">
      <w:pPr>
        <w:pStyle w:val="ListParagraph"/>
        <w:numPr>
          <w:ilvl w:val="0"/>
          <w:numId w:val="17"/>
        </w:numPr>
        <w:spacing w:after="0" w:line="240" w:lineRule="auto"/>
        <w:ind w:left="-86"/>
        <w:jc w:val="both"/>
        <w:rPr>
          <w:rFonts w:asciiTheme="minorHAnsi" w:hAnsiTheme="minorHAnsi"/>
        </w:rPr>
      </w:pPr>
      <w:r w:rsidRPr="00D22FB3">
        <w:rPr>
          <w:rFonts w:asciiTheme="minorHAnsi" w:hAnsiTheme="minorHAnsi"/>
        </w:rPr>
        <w:t>learn the best practices in Sustainability Reporting and disclosure.</w:t>
      </w:r>
    </w:p>
    <w:p w:rsidR="00D22FB3" w:rsidRPr="00D22FB3" w:rsidRDefault="00D22FB3" w:rsidP="00D22FB3">
      <w:pPr>
        <w:pStyle w:val="ListParagraph"/>
        <w:numPr>
          <w:ilvl w:val="0"/>
          <w:numId w:val="17"/>
        </w:numPr>
        <w:spacing w:after="0" w:line="240" w:lineRule="auto"/>
        <w:ind w:left="-86"/>
        <w:jc w:val="both"/>
        <w:rPr>
          <w:rFonts w:asciiTheme="minorHAnsi" w:hAnsiTheme="minorHAnsi"/>
        </w:rPr>
      </w:pPr>
      <w:r w:rsidRPr="00D22FB3">
        <w:rPr>
          <w:rFonts w:asciiTheme="minorHAnsi" w:hAnsiTheme="minorHAnsi"/>
        </w:rPr>
        <w:t>know the various key disclosure components and its reporting.</w:t>
      </w:r>
    </w:p>
    <w:p w:rsidR="00D22FB3" w:rsidRPr="00D22FB3" w:rsidRDefault="00D22FB3" w:rsidP="00D22FB3">
      <w:pPr>
        <w:pStyle w:val="ListParagraph"/>
        <w:numPr>
          <w:ilvl w:val="0"/>
          <w:numId w:val="17"/>
        </w:numPr>
        <w:spacing w:after="0" w:line="240" w:lineRule="auto"/>
        <w:ind w:left="-86"/>
        <w:jc w:val="both"/>
        <w:rPr>
          <w:rFonts w:asciiTheme="minorHAnsi" w:hAnsiTheme="minorHAnsi"/>
        </w:rPr>
      </w:pPr>
      <w:r w:rsidRPr="00D22FB3">
        <w:rPr>
          <w:rFonts w:asciiTheme="minorHAnsi" w:hAnsiTheme="minorHAnsi"/>
        </w:rPr>
        <w:t>gain a deeper insight into the mind-set of institutional investors in relation to Sustainability Reporting</w:t>
      </w: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p>
    <w:p w:rsidR="00D22FB3" w:rsidRDefault="00D22FB3" w:rsidP="00AE6D93">
      <w:pPr>
        <w:ind w:left="-450"/>
        <w:rPr>
          <w:rFonts w:asciiTheme="minorHAnsi" w:hAnsiTheme="minorHAnsi"/>
        </w:rPr>
      </w:pPr>
      <w:r>
        <w:rPr>
          <w:rFonts w:asciiTheme="minorHAnsi" w:hAnsiTheme="minorHAnsi"/>
          <w:noProof/>
          <w:lang w:val="en-US"/>
        </w:rPr>
        <w:lastRenderedPageBreak/>
        <w:pict>
          <v:roundrect id="_x0000_s1049" style="position:absolute;left:0;text-align:left;margin-left:-8.2pt;margin-top:7.5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D22FB3" w:rsidRDefault="00D22FB3" w:rsidP="00AE6D93">
      <w:pPr>
        <w:ind w:left="-450"/>
        <w:rPr>
          <w:rFonts w:asciiTheme="minorHAnsi" w:hAnsiTheme="minorHAnsi"/>
        </w:rPr>
      </w:pPr>
    </w:p>
    <w:p w:rsidR="00CB6394" w:rsidRDefault="00CB6394" w:rsidP="00AE6D93">
      <w:pPr>
        <w:ind w:left="-450"/>
        <w:rPr>
          <w:rFonts w:asciiTheme="minorHAnsi" w:hAnsiTheme="minorHAnsi"/>
        </w:rPr>
      </w:pPr>
    </w:p>
    <w:p w:rsidR="00D22FB3" w:rsidRPr="00D22FB3" w:rsidRDefault="00D22FB3" w:rsidP="00D22FB3">
      <w:pPr>
        <w:pStyle w:val="ListParagraph"/>
        <w:numPr>
          <w:ilvl w:val="0"/>
          <w:numId w:val="18"/>
        </w:numPr>
        <w:spacing w:after="0" w:line="240" w:lineRule="auto"/>
        <w:jc w:val="both"/>
        <w:rPr>
          <w:rFonts w:asciiTheme="minorHAnsi" w:hAnsiTheme="minorHAnsi"/>
        </w:rPr>
      </w:pPr>
      <w:r w:rsidRPr="00D22FB3">
        <w:rPr>
          <w:rFonts w:asciiTheme="minorHAnsi" w:hAnsiTheme="minorHAnsi"/>
        </w:rPr>
        <w:t>Salient Reasons For Sustainability Reporting</w:t>
      </w:r>
    </w:p>
    <w:p w:rsidR="00D22FB3" w:rsidRPr="00D22FB3" w:rsidRDefault="00D22FB3" w:rsidP="00D22FB3">
      <w:pPr>
        <w:pStyle w:val="ListParagraph"/>
        <w:numPr>
          <w:ilvl w:val="0"/>
          <w:numId w:val="18"/>
        </w:numPr>
        <w:spacing w:after="0" w:line="240" w:lineRule="auto"/>
        <w:jc w:val="both"/>
        <w:rPr>
          <w:rFonts w:asciiTheme="minorHAnsi" w:hAnsiTheme="minorHAnsi"/>
        </w:rPr>
      </w:pPr>
      <w:r w:rsidRPr="00D22FB3">
        <w:rPr>
          <w:rFonts w:asciiTheme="minorHAnsi" w:hAnsiTheme="minorHAnsi"/>
        </w:rPr>
        <w:t>Know The Best Practices &amp; Disclosure Recording Processes</w:t>
      </w:r>
    </w:p>
    <w:p w:rsidR="00D22FB3" w:rsidRPr="00D22FB3" w:rsidRDefault="00D22FB3" w:rsidP="00D22FB3">
      <w:pPr>
        <w:pStyle w:val="ListParagraph"/>
        <w:numPr>
          <w:ilvl w:val="0"/>
          <w:numId w:val="18"/>
        </w:numPr>
        <w:spacing w:after="0" w:line="240" w:lineRule="auto"/>
        <w:jc w:val="both"/>
        <w:rPr>
          <w:rFonts w:asciiTheme="minorHAnsi" w:hAnsiTheme="minorHAnsi"/>
        </w:rPr>
      </w:pPr>
      <w:r w:rsidRPr="00D22FB3">
        <w:rPr>
          <w:rFonts w:asciiTheme="minorHAnsi" w:hAnsiTheme="minorHAnsi"/>
        </w:rPr>
        <w:t>Examine The Key Sustainability Reporting Components &amp; Initiatives</w:t>
      </w:r>
    </w:p>
    <w:p w:rsidR="00BB37B7" w:rsidRPr="00D22FB3" w:rsidRDefault="00D22FB3" w:rsidP="00D22FB3">
      <w:pPr>
        <w:pStyle w:val="ListParagraph"/>
        <w:numPr>
          <w:ilvl w:val="0"/>
          <w:numId w:val="18"/>
        </w:numPr>
        <w:spacing w:after="0" w:line="240" w:lineRule="auto"/>
        <w:jc w:val="both"/>
        <w:rPr>
          <w:rFonts w:asciiTheme="minorHAnsi" w:hAnsiTheme="minorHAnsi"/>
        </w:rPr>
      </w:pPr>
      <w:r w:rsidRPr="00D22FB3">
        <w:rPr>
          <w:rFonts w:asciiTheme="minorHAnsi" w:hAnsiTheme="minorHAnsi"/>
        </w:rPr>
        <w:t>Positive Effect &amp; Benefits To Institutional Investors On Sustainability Reporting</w:t>
      </w:r>
    </w:p>
    <w:p w:rsidR="00BB37B7" w:rsidRDefault="00BB37B7" w:rsidP="00AE6D93">
      <w:pPr>
        <w:ind w:left="-450"/>
        <w:rPr>
          <w:rFonts w:asciiTheme="minorHAnsi" w:hAnsiTheme="minorHAnsi"/>
        </w:rPr>
      </w:pPr>
    </w:p>
    <w:p w:rsidR="001A500C" w:rsidRDefault="00D22FB3" w:rsidP="00AE6D93">
      <w:pPr>
        <w:ind w:left="-450"/>
        <w:rPr>
          <w:rFonts w:asciiTheme="minorHAnsi" w:hAnsiTheme="minorHAnsi"/>
        </w:rPr>
      </w:pPr>
      <w:r>
        <w:rPr>
          <w:rFonts w:asciiTheme="minorHAnsi" w:hAnsiTheme="minorHAnsi"/>
          <w:noProof/>
          <w:lang w:val="en-US"/>
        </w:rPr>
        <w:pict>
          <v:roundrect id="_x0000_s1063" style="position:absolute;left:0;text-align:left;margin-left:-8.2pt;margin-top:3.1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A500C" w:rsidRDefault="001A500C" w:rsidP="00AE6D93">
      <w:pPr>
        <w:ind w:left="-450"/>
        <w:rPr>
          <w:rFonts w:asciiTheme="minorHAnsi" w:hAnsiTheme="minorHAnsi"/>
        </w:rPr>
      </w:pPr>
    </w:p>
    <w:p w:rsidR="001A500C" w:rsidRDefault="001A500C" w:rsidP="00AE6D93">
      <w:pPr>
        <w:ind w:left="-450"/>
        <w:rPr>
          <w:rFonts w:asciiTheme="minorHAnsi" w:hAnsiTheme="minorHAnsi"/>
        </w:rPr>
      </w:pPr>
    </w:p>
    <w:p w:rsidR="00374C5A" w:rsidRDefault="00A92D43" w:rsidP="00A92D43">
      <w:pPr>
        <w:jc w:val="both"/>
        <w:rPr>
          <w:rFonts w:asciiTheme="minorHAnsi" w:hAnsiTheme="minorHAnsi"/>
        </w:rPr>
      </w:pPr>
      <w:r w:rsidRPr="00A92D43">
        <w:rPr>
          <w:rFonts w:asciiTheme="minorHAnsi" w:hAnsiTheme="minorHAnsi"/>
        </w:rPr>
        <w:t>Company Directors / Chief Executive Officers / Chief Financial Officers / Chief Compliance Officers / Company Secretaries / Investor Relations Officers / Auditors / Accountants / and those who are assisting in the preparation of Annual Reports</w:t>
      </w:r>
    </w:p>
    <w:p w:rsidR="00A92D43" w:rsidRDefault="00A92D43" w:rsidP="003F6F40">
      <w:pPr>
        <w:rPr>
          <w:rFonts w:asciiTheme="minorHAnsi" w:hAnsiTheme="minorHAnsi"/>
        </w:rPr>
      </w:pPr>
    </w:p>
    <w:p w:rsidR="003F6F40" w:rsidRPr="00B26841" w:rsidRDefault="002E6C9D"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2E6C9D">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E70F7E" w:rsidP="00BB37B7">
            <w:pPr>
              <w:ind w:right="308"/>
              <w:jc w:val="both"/>
              <w:rPr>
                <w:rFonts w:asciiTheme="minorHAnsi" w:hAnsiTheme="minorHAnsi" w:cs="Segoe UI Semibold"/>
                <w:sz w:val="20"/>
              </w:rPr>
            </w:pPr>
            <w:r>
              <w:rPr>
                <w:rFonts w:asciiTheme="minorHAnsi" w:hAnsiTheme="minorHAnsi" w:cs="Segoe UI Semibold"/>
                <w:sz w:val="20"/>
              </w:rPr>
              <w:t xml:space="preserve">22 </w:t>
            </w:r>
            <w:r w:rsidR="007757BC">
              <w:rPr>
                <w:rFonts w:asciiTheme="minorHAnsi" w:hAnsiTheme="minorHAnsi" w:cs="Segoe UI Semibold"/>
                <w:sz w:val="20"/>
              </w:rPr>
              <w:t xml:space="preserve">Mar / </w:t>
            </w:r>
            <w:r>
              <w:rPr>
                <w:rFonts w:asciiTheme="minorHAnsi" w:hAnsiTheme="minorHAnsi" w:cs="Segoe UI Semibold"/>
                <w:sz w:val="20"/>
              </w:rPr>
              <w:t xml:space="preserve">20 </w:t>
            </w:r>
            <w:r w:rsidR="007757BC">
              <w:rPr>
                <w:rFonts w:asciiTheme="minorHAnsi" w:hAnsiTheme="minorHAnsi" w:cs="Segoe UI Semibold"/>
                <w:sz w:val="20"/>
              </w:rPr>
              <w:t xml:space="preserve">Apr / </w:t>
            </w:r>
            <w:r w:rsidR="00BB37B7">
              <w:rPr>
                <w:rFonts w:asciiTheme="minorHAnsi" w:hAnsiTheme="minorHAnsi" w:cs="Segoe UI Semibold"/>
                <w:sz w:val="20"/>
              </w:rPr>
              <w:t>10</w:t>
            </w:r>
            <w:r w:rsidR="007757BC">
              <w:rPr>
                <w:rFonts w:asciiTheme="minorHAnsi" w:hAnsiTheme="minorHAnsi" w:cs="Segoe UI Semibold"/>
                <w:sz w:val="20"/>
              </w:rPr>
              <w:t xml:space="preserve"> </w:t>
            </w:r>
            <w:r>
              <w:rPr>
                <w:rFonts w:asciiTheme="minorHAnsi" w:hAnsiTheme="minorHAnsi" w:cs="Segoe UI Semibold"/>
                <w:sz w:val="20"/>
              </w:rPr>
              <w:t xml:space="preserve">May / 16 </w:t>
            </w:r>
            <w:r w:rsidR="007757BC">
              <w:rPr>
                <w:rFonts w:asciiTheme="minorHAnsi" w:hAnsiTheme="minorHAnsi" w:cs="Segoe UI Semibold"/>
                <w:sz w:val="20"/>
              </w:rPr>
              <w:t>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2E6C9D">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BB37B7" w:rsidRDefault="00BB37B7">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A92D43" w:rsidRPr="00B26841" w:rsidRDefault="00A92D43">
      <w:pPr>
        <w:rPr>
          <w:rFonts w:asciiTheme="minorHAnsi" w:hAnsiTheme="minorHAnsi"/>
        </w:rPr>
        <w:sectPr w:rsidR="00A92D43" w:rsidRPr="00B26841" w:rsidSect="004C3B41">
          <w:type w:val="continuous"/>
          <w:pgSz w:w="11906" w:h="16838" w:code="9"/>
          <w:pgMar w:top="1440" w:right="1440" w:bottom="1440" w:left="1440" w:header="0" w:footer="0" w:gutter="0"/>
          <w:cols w:num="2" w:sep="1" w:space="720"/>
          <w:titlePg/>
          <w:docGrid w:linePitch="299"/>
        </w:sectPr>
      </w:pP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2E6C9D"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Bhd, Green Packet Berhad, Gadang Holdings Bhd, Censof Holdings Bhd and Ho Hup Construction Company Berhad.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Past directorships in listed entities include IJM Land Berhad, Sanbumi Holdings Berhad, Omesti Berahd and Permaju Industries Berhad.</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E70F7E" w:rsidRPr="00E70F7E" w:rsidRDefault="00E70F7E" w:rsidP="00E70F7E">
      <w:pPr>
        <w:jc w:val="center"/>
        <w:rPr>
          <w:rFonts w:asciiTheme="minorHAnsi" w:eastAsiaTheme="majorEastAsia" w:hAnsiTheme="minorHAnsi" w:cstheme="majorBidi"/>
          <w:b/>
          <w:bCs/>
          <w:color w:val="365F91" w:themeColor="accent1" w:themeShade="BF"/>
          <w:sz w:val="28"/>
          <w:szCs w:val="28"/>
        </w:rPr>
      </w:pPr>
      <w:r w:rsidRPr="00E70F7E">
        <w:rPr>
          <w:rFonts w:asciiTheme="minorHAnsi" w:eastAsiaTheme="majorEastAsia" w:hAnsiTheme="minorHAnsi" w:cstheme="majorBidi"/>
          <w:b/>
          <w:bCs/>
          <w:color w:val="365F91" w:themeColor="accent1" w:themeShade="BF"/>
          <w:sz w:val="28"/>
          <w:szCs w:val="28"/>
        </w:rPr>
        <w:t xml:space="preserve">BEST PRACTICES FOR SUSTAINABILITY REPORTING </w:t>
      </w:r>
    </w:p>
    <w:p w:rsidR="00BB37B7" w:rsidRDefault="00E70F7E" w:rsidP="00E70F7E">
      <w:pPr>
        <w:jc w:val="center"/>
        <w:rPr>
          <w:rFonts w:asciiTheme="minorHAnsi" w:eastAsiaTheme="majorEastAsia" w:hAnsiTheme="minorHAnsi" w:cstheme="majorBidi"/>
          <w:b/>
          <w:bCs/>
          <w:color w:val="365F91" w:themeColor="accent1" w:themeShade="BF"/>
          <w:sz w:val="28"/>
          <w:szCs w:val="28"/>
        </w:rPr>
      </w:pPr>
      <w:r w:rsidRPr="00E70F7E">
        <w:rPr>
          <w:rFonts w:asciiTheme="minorHAnsi" w:eastAsiaTheme="majorEastAsia" w:hAnsiTheme="minorHAnsi" w:cstheme="majorBidi"/>
          <w:b/>
          <w:bCs/>
          <w:color w:val="365F91" w:themeColor="accent1" w:themeShade="BF"/>
          <w:sz w:val="28"/>
          <w:szCs w:val="28"/>
        </w:rPr>
        <w:t>– WHAT A COMPANY DIRECTOR NEEDS TO KNOW</w:t>
      </w:r>
    </w:p>
    <w:p w:rsidR="00BB37B7" w:rsidRDefault="00BB37B7" w:rsidP="00BB37B7">
      <w:pPr>
        <w:jc w:val="center"/>
        <w:rPr>
          <w:rFonts w:asciiTheme="minorHAnsi" w:eastAsiaTheme="majorEastAsia" w:hAnsiTheme="minorHAnsi" w:cstheme="majorBidi"/>
          <w:b/>
          <w:bCs/>
          <w:color w:val="365F91" w:themeColor="accent1" w:themeShade="BF"/>
          <w:sz w:val="28"/>
          <w:szCs w:val="28"/>
        </w:rPr>
      </w:pPr>
    </w:p>
    <w:p w:rsidR="000D57B6" w:rsidRDefault="000D57B6" w:rsidP="00BB37B7">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2E6C9D">
      <w:pPr>
        <w:rPr>
          <w:rFonts w:asciiTheme="minorHAnsi" w:hAnsiTheme="minorHAnsi"/>
          <w:sz w:val="24"/>
          <w:szCs w:val="24"/>
        </w:rPr>
      </w:pPr>
      <w:r w:rsidRPr="002E6C9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7308" w:type="dxa"/>
        <w:tblLayout w:type="fixed"/>
        <w:tblLook w:val="04A0"/>
      </w:tblPr>
      <w:tblGrid>
        <w:gridCol w:w="473"/>
        <w:gridCol w:w="1270"/>
        <w:gridCol w:w="451"/>
        <w:gridCol w:w="1053"/>
        <w:gridCol w:w="375"/>
        <w:gridCol w:w="1352"/>
        <w:gridCol w:w="354"/>
        <w:gridCol w:w="1980"/>
      </w:tblGrid>
      <w:tr w:rsidR="00E70F7E" w:rsidRPr="00E76169" w:rsidTr="00256DEE">
        <w:trPr>
          <w:trHeight w:val="383"/>
        </w:trPr>
        <w:tc>
          <w:tcPr>
            <w:tcW w:w="473" w:type="dxa"/>
            <w:vAlign w:val="center"/>
          </w:tcPr>
          <w:p w:rsidR="00E70F7E" w:rsidRPr="00E76169" w:rsidRDefault="00E70F7E" w:rsidP="00E70F7E">
            <w:pPr>
              <w:rPr>
                <w:rFonts w:asciiTheme="minorHAnsi" w:hAnsiTheme="minorHAnsi"/>
                <w:sz w:val="24"/>
                <w:szCs w:val="24"/>
                <w:lang w:val="en-US"/>
              </w:rPr>
            </w:pPr>
            <w:r>
              <w:rPr>
                <w:rFonts w:asciiTheme="minorHAnsi" w:hAnsiTheme="minorHAnsi"/>
                <w:noProof/>
                <w:sz w:val="24"/>
                <w:szCs w:val="24"/>
                <w:lang w:val="en-US"/>
              </w:rPr>
              <w:pict>
                <v:rect id="_x0000_s1071" style="position:absolute;margin-left:2.4pt;margin-top:0;width:10.65pt;height:10.05pt;z-index:251677696;mso-position-vertical:bottom;mso-position-vertical-relative:margin">
                  <v:shadow on="t" offset=",3pt" offset2=",2pt"/>
                  <w10:wrap anchory="margin"/>
                </v:rect>
              </w:pict>
            </w:r>
          </w:p>
        </w:tc>
        <w:tc>
          <w:tcPr>
            <w:tcW w:w="1270" w:type="dxa"/>
            <w:vAlign w:val="center"/>
          </w:tcPr>
          <w:p w:rsidR="00E70F7E" w:rsidRPr="00E76169" w:rsidRDefault="00E70F7E" w:rsidP="00E70F7E">
            <w:pPr>
              <w:rPr>
                <w:rFonts w:asciiTheme="minorHAnsi" w:hAnsiTheme="minorHAnsi"/>
                <w:sz w:val="24"/>
                <w:szCs w:val="24"/>
                <w:lang w:val="en-US"/>
              </w:rPr>
            </w:pPr>
            <w:r>
              <w:rPr>
                <w:rFonts w:asciiTheme="minorHAnsi" w:hAnsiTheme="minorHAnsi"/>
                <w:sz w:val="24"/>
                <w:szCs w:val="24"/>
                <w:lang w:val="en-US"/>
              </w:rPr>
              <w:t>22 Mar</w:t>
            </w:r>
          </w:p>
        </w:tc>
        <w:tc>
          <w:tcPr>
            <w:tcW w:w="451" w:type="dxa"/>
            <w:vAlign w:val="center"/>
          </w:tcPr>
          <w:p w:rsidR="00E70F7E" w:rsidRPr="00E76169" w:rsidRDefault="00E70F7E" w:rsidP="00E70F7E">
            <w:pPr>
              <w:rPr>
                <w:rFonts w:asciiTheme="minorHAnsi" w:hAnsiTheme="minorHAnsi"/>
                <w:sz w:val="24"/>
                <w:szCs w:val="24"/>
                <w:lang w:val="en-US"/>
              </w:rPr>
            </w:pPr>
            <w:r>
              <w:rPr>
                <w:rFonts w:asciiTheme="minorHAnsi" w:hAnsiTheme="minorHAnsi"/>
                <w:noProof/>
                <w:sz w:val="24"/>
                <w:szCs w:val="24"/>
                <w:lang w:val="en-US"/>
              </w:rPr>
              <w:pict>
                <v:rect id="_x0000_s1072" style="position:absolute;margin-left:2.75pt;margin-top:0;width:10.65pt;height:10.05pt;z-index:251678720;mso-position-horizontal-relative:text;mso-position-vertical:bottom;mso-position-vertical-relative:margin">
                  <v:shadow on="t" offset=",3pt" offset2=",2pt"/>
                  <w10:wrap anchory="margin"/>
                </v:rect>
              </w:pict>
            </w:r>
          </w:p>
        </w:tc>
        <w:tc>
          <w:tcPr>
            <w:tcW w:w="1053" w:type="dxa"/>
            <w:vAlign w:val="center"/>
          </w:tcPr>
          <w:p w:rsidR="00E70F7E" w:rsidRPr="00E76169" w:rsidRDefault="00E70F7E" w:rsidP="00E70F7E">
            <w:pPr>
              <w:rPr>
                <w:rFonts w:asciiTheme="minorHAnsi" w:hAnsiTheme="minorHAnsi"/>
                <w:sz w:val="24"/>
                <w:szCs w:val="24"/>
                <w:lang w:val="en-US"/>
              </w:rPr>
            </w:pPr>
            <w:r>
              <w:rPr>
                <w:rFonts w:asciiTheme="minorHAnsi" w:hAnsiTheme="minorHAnsi"/>
                <w:sz w:val="24"/>
                <w:szCs w:val="24"/>
                <w:lang w:val="en-US"/>
              </w:rPr>
              <w:t>20 Apr</w:t>
            </w:r>
          </w:p>
        </w:tc>
        <w:tc>
          <w:tcPr>
            <w:tcW w:w="375" w:type="dxa"/>
            <w:vAlign w:val="center"/>
          </w:tcPr>
          <w:p w:rsidR="00E70F7E" w:rsidRPr="00E76169" w:rsidRDefault="00E70F7E" w:rsidP="00E70F7E">
            <w:pPr>
              <w:rPr>
                <w:rFonts w:asciiTheme="minorHAnsi" w:hAnsiTheme="minorHAnsi"/>
                <w:sz w:val="24"/>
                <w:szCs w:val="24"/>
                <w:lang w:val="en-US"/>
              </w:rPr>
            </w:pPr>
            <w:r>
              <w:rPr>
                <w:rFonts w:asciiTheme="minorHAnsi" w:hAnsiTheme="minorHAnsi"/>
                <w:noProof/>
                <w:sz w:val="24"/>
                <w:szCs w:val="24"/>
                <w:lang w:val="en-US"/>
              </w:rPr>
              <w:pict>
                <v:rect id="_x0000_s1073" style="position:absolute;margin-left:-1.8pt;margin-top:0;width:10.65pt;height:10.05pt;z-index:251679744;mso-position-horizontal-relative:text;mso-position-vertical:bottom;mso-position-vertical-relative:margin">
                  <v:shadow on="t" offset=",3pt" offset2=",2pt"/>
                  <w10:wrap anchory="margin"/>
                </v:rect>
              </w:pict>
            </w:r>
          </w:p>
        </w:tc>
        <w:tc>
          <w:tcPr>
            <w:tcW w:w="1352" w:type="dxa"/>
            <w:vAlign w:val="center"/>
          </w:tcPr>
          <w:p w:rsidR="00E70F7E" w:rsidRPr="00E76169" w:rsidRDefault="00E70F7E" w:rsidP="00E70F7E">
            <w:pPr>
              <w:rPr>
                <w:rFonts w:asciiTheme="minorHAnsi" w:hAnsiTheme="minorHAnsi"/>
                <w:sz w:val="24"/>
                <w:szCs w:val="24"/>
                <w:lang w:val="en-US"/>
              </w:rPr>
            </w:pPr>
            <w:r>
              <w:rPr>
                <w:rFonts w:asciiTheme="minorHAnsi" w:hAnsiTheme="minorHAnsi"/>
                <w:sz w:val="24"/>
                <w:szCs w:val="24"/>
                <w:lang w:val="en-US"/>
              </w:rPr>
              <w:t>10 May</w:t>
            </w:r>
          </w:p>
        </w:tc>
        <w:tc>
          <w:tcPr>
            <w:tcW w:w="354" w:type="dxa"/>
            <w:vAlign w:val="center"/>
          </w:tcPr>
          <w:p w:rsidR="00E70F7E" w:rsidRDefault="00E70F7E" w:rsidP="00E70F7E">
            <w:pPr>
              <w:rPr>
                <w:rFonts w:asciiTheme="minorHAnsi" w:hAnsiTheme="minorHAnsi"/>
                <w:sz w:val="24"/>
                <w:szCs w:val="24"/>
                <w:lang w:val="en-US"/>
              </w:rPr>
            </w:pPr>
            <w:r>
              <w:rPr>
                <w:rFonts w:asciiTheme="minorHAnsi" w:hAnsiTheme="minorHAnsi"/>
                <w:noProof/>
                <w:sz w:val="24"/>
                <w:szCs w:val="24"/>
                <w:lang w:val="en-US"/>
              </w:rPr>
              <w:pict>
                <v:rect id="_x0000_s1074" style="position:absolute;margin-left:-2.45pt;margin-top:0;width:10.65pt;height:10.05pt;z-index:251680768;mso-position-horizontal-relative:text;mso-position-vertical:bottom;mso-position-vertical-relative:margin">
                  <v:shadow on="t" offset=",3pt" offset2=",2pt"/>
                  <w10:wrap anchory="margin"/>
                </v:rect>
              </w:pict>
            </w:r>
          </w:p>
        </w:tc>
        <w:tc>
          <w:tcPr>
            <w:tcW w:w="1980" w:type="dxa"/>
            <w:vAlign w:val="center"/>
          </w:tcPr>
          <w:p w:rsidR="00E70F7E" w:rsidRDefault="00E70F7E" w:rsidP="00E70F7E">
            <w:pPr>
              <w:rPr>
                <w:rFonts w:asciiTheme="minorHAnsi" w:hAnsiTheme="minorHAnsi"/>
                <w:sz w:val="24"/>
                <w:szCs w:val="24"/>
                <w:lang w:val="en-US"/>
              </w:rPr>
            </w:pPr>
            <w:r>
              <w:rPr>
                <w:rFonts w:asciiTheme="minorHAnsi" w:hAnsiTheme="minorHAnsi"/>
                <w:sz w:val="24"/>
                <w:szCs w:val="24"/>
                <w:lang w:val="en-US"/>
              </w:rPr>
              <w:t>16 Jun 2016</w:t>
            </w:r>
          </w:p>
        </w:tc>
      </w:tr>
    </w:tbl>
    <w:p w:rsidR="0027004C" w:rsidRDefault="0027004C" w:rsidP="002D40CE">
      <w:pPr>
        <w:pStyle w:val="Heading2"/>
        <w:jc w:val="left"/>
        <w:rPr>
          <w:sz w:val="16"/>
          <w:szCs w:val="16"/>
        </w:rPr>
      </w:pPr>
    </w:p>
    <w:p w:rsidR="004E6547" w:rsidRDefault="002E6C9D" w:rsidP="00E76169">
      <w:pPr>
        <w:rPr>
          <w:rFonts w:asciiTheme="minorHAnsi" w:hAnsiTheme="minorHAnsi"/>
          <w:sz w:val="24"/>
          <w:szCs w:val="24"/>
        </w:rPr>
      </w:pPr>
      <w:r w:rsidRPr="002E6C9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2E6C9D" w:rsidP="00E76169">
      <w:pPr>
        <w:jc w:val="center"/>
        <w:rPr>
          <w:rFonts w:asciiTheme="minorHAnsi" w:hAnsiTheme="minorHAnsi"/>
          <w:sz w:val="24"/>
          <w:szCs w:val="24"/>
        </w:rPr>
      </w:pPr>
      <w:r w:rsidRPr="002E6C9D">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r w:rsidRPr="00E76169">
        <w:rPr>
          <w:rFonts w:asciiTheme="minorHAnsi" w:hAnsiTheme="minorHAnsi"/>
          <w:sz w:val="24"/>
          <w:szCs w:val="24"/>
        </w:rPr>
        <w:t>please call 03-7958 8001 / 03-7958 8002 or</w:t>
      </w:r>
    </w:p>
    <w:p w:rsidR="00C248F9" w:rsidRDefault="00E76169" w:rsidP="00E76169">
      <w:pPr>
        <w:jc w:val="center"/>
        <w:rPr>
          <w:rFonts w:asciiTheme="minorHAnsi" w:hAnsiTheme="minorHAnsi"/>
          <w:sz w:val="24"/>
          <w:szCs w:val="24"/>
        </w:rPr>
      </w:pPr>
      <w:r w:rsidRPr="00E76169">
        <w:rPr>
          <w:rFonts w:asciiTheme="minorHAnsi" w:hAnsiTheme="minorHAnsi"/>
          <w:sz w:val="24"/>
          <w:szCs w:val="24"/>
        </w:rPr>
        <w:t>fax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r w:rsidRPr="00E76169">
        <w:rPr>
          <w:rFonts w:asciiTheme="minorHAnsi" w:hAnsiTheme="minorHAnsi"/>
          <w:sz w:val="24"/>
          <w:szCs w:val="24"/>
        </w:rPr>
        <w:t xml:space="preserve">e-mail to: </w:t>
      </w:r>
      <w:hyperlink r:id="rId15" w:history="1">
        <w:r w:rsidR="00C248F9" w:rsidRPr="008A4104">
          <w:rPr>
            <w:rStyle w:val="Hyperlink"/>
            <w:rFonts w:asciiTheme="minorHAnsi" w:hAnsiTheme="minorHAnsi"/>
            <w:sz w:val="24"/>
            <w:szCs w:val="24"/>
          </w:rPr>
          <w:t>mailmarshal@bursatra.com.my</w:t>
        </w:r>
      </w:hyperlink>
    </w:p>
    <w:p w:rsidR="00C248F9" w:rsidRDefault="002E6C9D"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B76" w:rsidRDefault="00946B76">
      <w:r>
        <w:separator/>
      </w:r>
    </w:p>
  </w:endnote>
  <w:endnote w:type="continuationSeparator" w:id="1">
    <w:p w:rsidR="00946B76" w:rsidRDefault="00946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B76" w:rsidRDefault="00946B76">
      <w:r>
        <w:separator/>
      </w:r>
    </w:p>
  </w:footnote>
  <w:footnote w:type="continuationSeparator" w:id="1">
    <w:p w:rsidR="00946B76" w:rsidRDefault="00946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2E6C9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2E6C9D" w:rsidP="00C24690">
    <w:pPr>
      <w:pStyle w:val="Heading5"/>
      <w:ind w:left="-810" w:hanging="90"/>
      <w:rPr>
        <w:rFonts w:ascii="Century Gothic" w:hAnsi="Century Gothic"/>
        <w:i w:val="0"/>
        <w:iCs/>
        <w:sz w:val="24"/>
        <w:szCs w:val="24"/>
      </w:rPr>
    </w:pPr>
    <w:r w:rsidRPr="002E6C9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2E6C9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A02"/>
    <w:multiLevelType w:val="hybridMultilevel"/>
    <w:tmpl w:val="DB526C2A"/>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7116"/>
    <w:multiLevelType w:val="hybridMultilevel"/>
    <w:tmpl w:val="2F286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98407A"/>
    <w:multiLevelType w:val="hybridMultilevel"/>
    <w:tmpl w:val="9AF2D8A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6340542E"/>
    <w:multiLevelType w:val="hybridMultilevel"/>
    <w:tmpl w:val="43A0D4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3">
    <w:nsid w:val="642235E0"/>
    <w:multiLevelType w:val="hybridMultilevel"/>
    <w:tmpl w:val="1430D4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6AFC137A"/>
    <w:multiLevelType w:val="hybridMultilevel"/>
    <w:tmpl w:val="A3F0BCCE"/>
    <w:lvl w:ilvl="0" w:tplc="CFB02090">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72C5D"/>
    <w:multiLevelType w:val="hybridMultilevel"/>
    <w:tmpl w:val="578E3DF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4"/>
  </w:num>
  <w:num w:numId="2">
    <w:abstractNumId w:val="1"/>
  </w:num>
  <w:num w:numId="3">
    <w:abstractNumId w:val="17"/>
  </w:num>
  <w:num w:numId="4">
    <w:abstractNumId w:val="8"/>
  </w:num>
  <w:num w:numId="5">
    <w:abstractNumId w:val="16"/>
  </w:num>
  <w:num w:numId="6">
    <w:abstractNumId w:val="9"/>
  </w:num>
  <w:num w:numId="7">
    <w:abstractNumId w:val="6"/>
  </w:num>
  <w:num w:numId="8">
    <w:abstractNumId w:val="10"/>
  </w:num>
  <w:num w:numId="9">
    <w:abstractNumId w:val="7"/>
  </w:num>
  <w:num w:numId="10">
    <w:abstractNumId w:val="11"/>
  </w:num>
  <w:num w:numId="11">
    <w:abstractNumId w:val="3"/>
  </w:num>
  <w:num w:numId="12">
    <w:abstractNumId w:val="14"/>
  </w:num>
  <w:num w:numId="13">
    <w:abstractNumId w:val="0"/>
  </w:num>
  <w:num w:numId="14">
    <w:abstractNumId w:val="5"/>
  </w:num>
  <w:num w:numId="15">
    <w:abstractNumId w:val="13"/>
  </w:num>
  <w:num w:numId="16">
    <w:abstractNumId w:val="2"/>
  </w:num>
  <w:num w:numId="17">
    <w:abstractNumId w:val="15"/>
  </w:num>
  <w:num w:numId="18">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595D"/>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6DEE"/>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C9D"/>
    <w:rsid w:val="002E6DF0"/>
    <w:rsid w:val="002E6DF1"/>
    <w:rsid w:val="002F32AA"/>
    <w:rsid w:val="002F5951"/>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46B76"/>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2D43"/>
    <w:rsid w:val="00A96EDC"/>
    <w:rsid w:val="00AB2E66"/>
    <w:rsid w:val="00AC523C"/>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37B7"/>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2FB3"/>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0F7E"/>
    <w:rsid w:val="00E71AA0"/>
    <w:rsid w:val="00E76169"/>
    <w:rsid w:val="00E81344"/>
    <w:rsid w:val="00E841EA"/>
    <w:rsid w:val="00E954FF"/>
    <w:rsid w:val="00EA2BE7"/>
    <w:rsid w:val="00EA4BF4"/>
    <w:rsid w:val="00EB1AA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1EAE"/>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EB973-8AE0-485C-956B-A24C7704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4894</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hp</cp:lastModifiedBy>
  <cp:revision>5</cp:revision>
  <cp:lastPrinted>2015-06-30T15:28:00Z</cp:lastPrinted>
  <dcterms:created xsi:type="dcterms:W3CDTF">2016-02-04T19:39:00Z</dcterms:created>
  <dcterms:modified xsi:type="dcterms:W3CDTF">2016-02-04T19:51:00Z</dcterms:modified>
  <cp:category>Corporate Governance Management and Best Practices</cp:category>
</cp:coreProperties>
</file>